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pPr>
      <w:r>
        <w:rPr>
          <w:rFonts w:ascii="Calibri" w:cs="Calibri" w:eastAsia="Calibri" w:hAnsi="Calibri"/>
          <w:b/>
          <w:bCs/>
          <w:color w:val="1E3A5F"/>
          <w:sz w:val="36"/>
          <w:szCs w:val="36"/>
        </w:rPr>
        <w:t xml:space="preserve">Manager de rayon en alternance</w:t>
      </w:r>
    </w:p>
    <w:p>
      <w:pPr>
        <w:spacing w:after="160"/>
      </w:pPr>
      <w:r>
        <w:rPr>
          <w:rFonts w:ascii="Calibri" w:cs="Calibri" w:eastAsia="Calibri" w:hAnsi="Calibri"/>
          <w:b/>
          <w:bCs/>
          <w:color w:val="C8A84B"/>
          <w:sz w:val="26"/>
          <w:szCs w:val="26"/>
        </w:rPr>
        <w:t xml:space="preserve">Qualification d'agent de maîtrise — contrat de professionnalisation</w:t>
      </w:r>
    </w:p>
    <w:p>
      <w:pPr>
        <w:spacing w:after="120" w:before="0" w:line="264"/>
        <w:jc w:val="left"/>
      </w:pPr>
      <w:r>
        <w:rPr>
          <w:rFonts w:ascii="Calibri" w:cs="Calibri" w:eastAsia="Calibri" w:hAnsi="Calibri"/>
          <w:b w:val="false"/>
          <w:bCs w:val="false"/>
          <w:i w:val="false"/>
          <w:iCs w:val="false"/>
          <w:color w:val="666666"/>
          <w:sz w:val="17"/>
          <w:szCs w:val="17"/>
        </w:rPr>
        <w:t xml:space="preserve">SMDP Formation · Pôle Management et commerce · Organisme certifié Qualiopi au titre des actions de formation (ICPF, septembre 2025) · Fiche V1 · Dernière mise à jour : 29/10/2026</w:t>
      </w:r>
    </w:p>
    <w:p>
      <w:pPr>
        <w:keepNext/>
        <w:pBdr>
          <w:bottom w:val="single" w:color="C8A84B" w:sz="8" w:space="2"/>
        </w:pBdr>
        <w:spacing w:after="120" w:before="240"/>
      </w:pPr>
      <w:r>
        <w:rPr>
          <w:rFonts w:ascii="Calibri" w:cs="Calibri" w:eastAsia="Calibri" w:hAnsi="Calibri"/>
          <w:b/>
          <w:bCs/>
          <w:color w:val="1E3A5F"/>
          <w:sz w:val="26"/>
          <w:szCs w:val="26"/>
        </w:rPr>
        <w:t xml:space="preserve">Finalité</w:t>
      </w:r>
    </w:p>
    <w:p>
      <w:pPr>
        <w:spacing w:after="100" w:before="0" w:line="264"/>
        <w:jc w:val="left"/>
      </w:pPr>
      <w:r>
        <w:rPr>
          <w:rFonts w:ascii="Calibri" w:cs="Calibri" w:eastAsia="Calibri" w:hAnsi="Calibri"/>
          <w:b w:val="false"/>
          <w:bCs w:val="false"/>
          <w:i w:val="false"/>
          <w:iCs w:val="false"/>
          <w:sz w:val="19"/>
          <w:szCs w:val="19"/>
        </w:rPr>
        <w:t xml:space="preserve">Former en 6 mois, en alternance, un jeune recruté par le magasin au poste de manager de rayon : tenir et animer un rayon, en piloter les résultats, organiser et animer une équipe, dans le respect de la politique de l'enseigne.</w:t>
      </w:r>
    </w:p>
    <w:p>
      <w:pPr>
        <w:keepNext/>
        <w:pBdr>
          <w:bottom w:val="single" w:color="C8A84B" w:sz="8" w:space="2"/>
        </w:pBdr>
        <w:spacing w:after="120" w:before="240"/>
      </w:pPr>
      <w:r>
        <w:rPr>
          <w:rFonts w:ascii="Calibri" w:cs="Calibri" w:eastAsia="Calibri" w:hAnsi="Calibri"/>
          <w:b/>
          <w:bCs/>
          <w:color w:val="1E3A5F"/>
          <w:sz w:val="26"/>
          <w:szCs w:val="26"/>
        </w:rPr>
        <w:t xml:space="preserve">Qualification visée</w:t>
      </w:r>
    </w:p>
    <w:p>
      <w:pPr>
        <w:spacing w:after="100" w:before="0" w:line="264"/>
        <w:jc w:val="left"/>
      </w:pPr>
      <w:r>
        <w:rPr>
          <w:rFonts w:ascii="Calibri" w:cs="Calibri" w:eastAsia="Calibri" w:hAnsi="Calibri"/>
          <w:b w:val="false"/>
          <w:bCs w:val="false"/>
          <w:i w:val="false"/>
          <w:iCs w:val="false"/>
          <w:sz w:val="19"/>
          <w:szCs w:val="19"/>
        </w:rPr>
        <w:t xml:space="preserve">Qualification reconnue dans les classifications de la convention collective de l'employeur (article L6314-1, 2° du Code du travail) :</w:t>
      </w:r>
    </w:p>
    <w:p>
      <w:pPr>
        <w:pStyle w:val="ListParagraph"/>
        <w:numPr>
          <w:ilvl w:val="0"/>
          <w:numId w:val="2"/>
        </w:numPr>
        <w:spacing w:after="60" w:line="264"/>
      </w:pPr>
      <w:r>
        <w:rPr>
          <w:rFonts w:ascii="Calibri" w:cs="Calibri" w:eastAsia="Calibri" w:hAnsi="Calibri"/>
          <w:b/>
          <w:bCs/>
          <w:i w:val="false"/>
          <w:iCs w:val="false"/>
          <w:sz w:val="19"/>
          <w:szCs w:val="19"/>
        </w:rPr>
        <w:t xml:space="preserve">CCN 2216</w:t>
      </w:r>
      <w:r>
        <w:rPr>
          <w:rFonts w:ascii="Calibri" w:cs="Calibri" w:eastAsia="Calibri" w:hAnsi="Calibri"/>
          <w:b w:val="false"/>
          <w:bCs w:val="false"/>
          <w:i w:val="false"/>
          <w:iCs w:val="false"/>
          <w:sz w:val="19"/>
          <w:szCs w:val="19"/>
        </w:rPr>
        <w:t xml:space="preserve"> (commerce de détail et de gros à prédominance alimentaire) : agent de maîtrise de niveau 5, emploi repère de manageur/manageuse de rayon 1 ;</w:t>
      </w:r>
    </w:p>
    <w:p>
      <w:pPr>
        <w:pStyle w:val="ListParagraph"/>
        <w:numPr>
          <w:ilvl w:val="0"/>
          <w:numId w:val="2"/>
        </w:numPr>
        <w:spacing w:after="60" w:line="264"/>
      </w:pPr>
      <w:r>
        <w:rPr>
          <w:rFonts w:ascii="Calibri" w:cs="Calibri" w:eastAsia="Calibri" w:hAnsi="Calibri"/>
          <w:b/>
          <w:bCs/>
          <w:i w:val="false"/>
          <w:iCs w:val="false"/>
          <w:sz w:val="19"/>
          <w:szCs w:val="19"/>
        </w:rPr>
        <w:t xml:space="preserve">CCN 1505</w:t>
      </w:r>
      <w:r>
        <w:rPr>
          <w:rFonts w:ascii="Calibri" w:cs="Calibri" w:eastAsia="Calibri" w:hAnsi="Calibri"/>
          <w:b w:val="false"/>
          <w:bCs w:val="false"/>
          <w:i w:val="false"/>
          <w:iCs w:val="false"/>
          <w:sz w:val="19"/>
          <w:szCs w:val="19"/>
        </w:rPr>
        <w:t xml:space="preserve"> (commerce de détail alimentaire non spécialisé, dont les magasins bio) : agent de maîtrise de niveau AM1.</w:t>
      </w:r>
    </w:p>
    <w:p>
      <w:pPr>
        <w:spacing w:after="60" w:before="0" w:line="264"/>
        <w:jc w:val="left"/>
      </w:pPr>
      <w:r>
        <w:rPr>
          <w:rFonts w:ascii="Calibri" w:cs="Calibri" w:eastAsia="Calibri" w:hAnsi="Calibri"/>
          <w:b w:val="false"/>
          <w:bCs w:val="false"/>
          <w:i/>
          <w:iCs/>
          <w:color w:val="666666"/>
          <w:sz w:val="17"/>
          <w:szCs w:val="17"/>
        </w:rPr>
        <w:t xml:space="preserve">Il ne s’agit pas d’une certification enregistrée au RNCP.</w:t>
      </w:r>
    </w:p>
    <w:p>
      <w:pPr>
        <w:keepNext/>
        <w:pBdr>
          <w:bottom w:val="single" w:color="C8A84B" w:sz="8" w:space="2"/>
        </w:pBdr>
        <w:spacing w:after="120" w:before="240"/>
      </w:pPr>
      <w:r>
        <w:rPr>
          <w:rFonts w:ascii="Calibri" w:cs="Calibri" w:eastAsia="Calibri" w:hAnsi="Calibri"/>
          <w:b/>
          <w:bCs/>
          <w:color w:val="1E3A5F"/>
          <w:sz w:val="26"/>
          <w:szCs w:val="26"/>
        </w:rPr>
        <w:t xml:space="preserve">Objectifs</w:t>
      </w:r>
    </w:p>
    <w:p>
      <w:pPr>
        <w:spacing w:after="100" w:before="0" w:line="264"/>
        <w:jc w:val="left"/>
      </w:pPr>
      <w:r>
        <w:rPr>
          <w:rFonts w:ascii="Calibri" w:cs="Calibri" w:eastAsia="Calibri" w:hAnsi="Calibri"/>
          <w:b w:val="false"/>
          <w:bCs w:val="false"/>
          <w:i w:val="false"/>
          <w:iCs w:val="false"/>
          <w:sz w:val="19"/>
          <w:szCs w:val="19"/>
        </w:rPr>
        <w:t xml:space="preserve">À l’issue du parcours, l’alternant est capable de :</w:t>
      </w:r>
    </w:p>
    <w:p>
      <w:pPr>
        <w:pStyle w:val="ListParagraph"/>
        <w:numPr>
          <w:ilvl w:val="0"/>
          <w:numId w:val="2"/>
        </w:numPr>
        <w:spacing w:after="60" w:line="264"/>
      </w:pPr>
      <w:r>
        <w:rPr>
          <w:rFonts w:ascii="Calibri" w:cs="Calibri" w:eastAsia="Calibri" w:hAnsi="Calibri"/>
          <w:b/>
          <w:bCs/>
          <w:i w:val="false"/>
          <w:iCs w:val="false"/>
          <w:sz w:val="19"/>
          <w:szCs w:val="19"/>
        </w:rPr>
        <w:t xml:space="preserve">Développer l'activité commerciale du rayon</w:t>
      </w:r>
      <w:r>
        <w:rPr>
          <w:rFonts w:ascii="Calibri" w:cs="Calibri" w:eastAsia="Calibri" w:hAnsi="Calibri"/>
          <w:b w:val="false"/>
          <w:bCs w:val="false"/>
          <w:i w:val="false"/>
          <w:iCs w:val="false"/>
          <w:sz w:val="19"/>
          <w:szCs w:val="19"/>
        </w:rPr>
        <w:t xml:space="preserve"> : analyser la clientèle et la concurrence, construire l'assortiment et l'implantation, animer le rayon.</w:t>
      </w:r>
    </w:p>
    <w:p>
      <w:pPr>
        <w:pStyle w:val="ListParagraph"/>
        <w:numPr>
          <w:ilvl w:val="0"/>
          <w:numId w:val="2"/>
        </w:numPr>
        <w:spacing w:after="60" w:line="264"/>
      </w:pPr>
      <w:r>
        <w:rPr>
          <w:rFonts w:ascii="Calibri" w:cs="Calibri" w:eastAsia="Calibri" w:hAnsi="Calibri"/>
          <w:b/>
          <w:bCs/>
          <w:i w:val="false"/>
          <w:iCs w:val="false"/>
          <w:sz w:val="19"/>
          <w:szCs w:val="19"/>
        </w:rPr>
        <w:t xml:space="preserve">Piloter la performance économique du rayon</w:t>
      </w:r>
      <w:r>
        <w:rPr>
          <w:rFonts w:ascii="Calibri" w:cs="Calibri" w:eastAsia="Calibri" w:hAnsi="Calibri"/>
          <w:b w:val="false"/>
          <w:bCs w:val="false"/>
          <w:i w:val="false"/>
          <w:iCs w:val="false"/>
          <w:sz w:val="19"/>
          <w:szCs w:val="19"/>
        </w:rPr>
        <w:t xml:space="preserve"> : suivre les indicateurs, gérer les stocks et la démarque, construire et suivre le compte d’exploitation.</w:t>
      </w:r>
    </w:p>
    <w:p>
      <w:pPr>
        <w:pStyle w:val="ListParagraph"/>
        <w:numPr>
          <w:ilvl w:val="0"/>
          <w:numId w:val="2"/>
        </w:numPr>
        <w:spacing w:after="60" w:line="264"/>
      </w:pPr>
      <w:r>
        <w:rPr>
          <w:rFonts w:ascii="Calibri" w:cs="Calibri" w:eastAsia="Calibri" w:hAnsi="Calibri"/>
          <w:b/>
          <w:bCs/>
          <w:i w:val="false"/>
          <w:iCs w:val="false"/>
          <w:sz w:val="19"/>
          <w:szCs w:val="19"/>
        </w:rPr>
        <w:t xml:space="preserve">Manager l'équipe du rayon</w:t>
      </w:r>
      <w:r>
        <w:rPr>
          <w:rFonts w:ascii="Calibri" w:cs="Calibri" w:eastAsia="Calibri" w:hAnsi="Calibri"/>
          <w:b w:val="false"/>
          <w:bCs w:val="false"/>
          <w:i w:val="false"/>
          <w:iCs w:val="false"/>
          <w:sz w:val="19"/>
          <w:szCs w:val="19"/>
        </w:rPr>
        <w:t xml:space="preserve"> : organiser le travail et les plannings, intégrer et accompagner les collaborateurs, animer l'équipe et conduire les entretiens.</w:t>
      </w:r>
    </w:p>
    <w:p>
      <w:pPr>
        <w:keepNext/>
        <w:pBdr>
          <w:bottom w:val="single" w:color="C8A84B" w:sz="8" w:space="2"/>
        </w:pBdr>
        <w:spacing w:after="120" w:before="240"/>
      </w:pPr>
      <w:r>
        <w:rPr>
          <w:rFonts w:ascii="Calibri" w:cs="Calibri" w:eastAsia="Calibri" w:hAnsi="Calibri"/>
          <w:b/>
          <w:bCs/>
          <w:color w:val="1E3A5F"/>
          <w:sz w:val="26"/>
          <w:szCs w:val="26"/>
        </w:rPr>
        <w:t xml:space="preserve">Public et prérequis</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Jeunes de 18 à 25 ans révolus, recrutés en contrat de professionnalisation à temps plein (plus de 28 heures par semaine) par un magasin relevant de la CCN 2216 ou de la CCN 1505.</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Aucun diplôme exigé. Maîtrise du français écrit et oral.</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Prérequis techniques, à la charge de l'entreprise pendant le temps de formation : ordinateur avec caméra et micro (casque conseillé), navigateur à jour, connexion internet, adresse e-mail.</w:t>
      </w:r>
    </w:p>
    <w:p>
      <w:pPr>
        <w:keepNext/>
        <w:pBdr>
          <w:bottom w:val="single" w:color="C8A84B" w:sz="8" w:space="2"/>
        </w:pBdr>
        <w:spacing w:after="120" w:before="240"/>
      </w:pPr>
      <w:r>
        <w:rPr>
          <w:rFonts w:ascii="Calibri" w:cs="Calibri" w:eastAsia="Calibri" w:hAnsi="Calibri"/>
          <w:b/>
          <w:bCs/>
          <w:color w:val="1E3A5F"/>
          <w:sz w:val="26"/>
          <w:szCs w:val="26"/>
        </w:rPr>
        <w:t xml:space="preserve">Durée, rythme et modalités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rPr>
          <w:cantSplit/>
        </w:trPr>
        <w:tc>
          <w:tcPr>
            <w:tcW w:type="dxa" w:w="20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Durée</w:t>
            </w:r>
          </w:p>
        </w:tc>
        <w:tc>
          <w:tcPr>
            <w:tcW w:type="dxa" w:w="76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190 heures de formation sur un contrat de 6 mois</w:t>
            </w:r>
          </w:p>
        </w:tc>
      </w:tr>
      <w:tr>
        <w:trPr>
          <w:cantSplit/>
        </w:trPr>
        <w:tc>
          <w:tcPr>
            <w:tcW w:type="dxa" w:w="20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Rythme</w:t>
            </w:r>
          </w:p>
        </w:tc>
        <w:tc>
          <w:tcPr>
            <w:tcW w:type="dxa" w:w="76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Chaque semaine : 3 h de classe virtuelle (Zoom), le jeudi de 14 h à 17 h, et 4 h de travail en autonomie (plateforme Teachizy), sur le temps de travail</w:t>
            </w:r>
          </w:p>
        </w:tc>
      </w:tr>
      <w:tr>
        <w:trPr>
          <w:cantSplit/>
        </w:trPr>
        <w:tc>
          <w:tcPr>
            <w:tcW w:type="dxa" w:w="20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Modalités</w:t>
            </w:r>
          </w:p>
        </w:tc>
        <w:tc>
          <w:tcPr>
            <w:tcW w:type="dxa" w:w="76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100 % à distance ; positionnement d’entrée et évaluation finale de 4 h chacun, en visioconférence</w:t>
            </w:r>
          </w:p>
        </w:tc>
      </w:tr>
      <w:tr>
        <w:trPr>
          <w:cantSplit/>
        </w:trPr>
        <w:tc>
          <w:tcPr>
            <w:tcW w:type="dxa" w:w="20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Dates</w:t>
            </w:r>
          </w:p>
        </w:tc>
        <w:tc>
          <w:tcPr>
            <w:tcW w:type="dxa" w:w="76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Du 11 janvier au 9 juillet 2027 · effectif de 6 à 10 alternants</w:t>
            </w:r>
          </w:p>
        </w:tc>
      </w:tr>
    </w:tbl>
    <w:p>
      <w:pPr>
        <w:keepNext/>
        <w:pBdr>
          <w:bottom w:val="single" w:color="C8A84B" w:sz="8" w:space="2"/>
        </w:pBdr>
        <w:spacing w:after="120" w:before="240"/>
      </w:pPr>
      <w:r>
        <w:rPr>
          <w:rFonts w:ascii="Calibri" w:cs="Calibri" w:eastAsia="Calibri" w:hAnsi="Calibri"/>
          <w:b/>
          <w:bCs/>
          <w:color w:val="1E3A5F"/>
          <w:sz w:val="26"/>
          <w:szCs w:val="26"/>
        </w:rPr>
        <w:t xml:space="preserve">Accès et délais</w:t>
      </w:r>
    </w:p>
    <w:p>
      <w:pPr>
        <w:pStyle w:val="ListParagraph"/>
        <w:numPr>
          <w:ilvl w:val="0"/>
          <w:numId w:val="2"/>
        </w:numPr>
        <w:spacing w:after="60" w:line="264"/>
      </w:pPr>
      <w:r>
        <w:rPr>
          <w:rFonts w:ascii="Calibri" w:cs="Calibri" w:eastAsia="Calibri" w:hAnsi="Calibri"/>
          <w:b/>
          <w:bCs/>
          <w:i w:val="false"/>
          <w:iCs w:val="false"/>
          <w:sz w:val="19"/>
          <w:szCs w:val="19"/>
        </w:rPr>
        <w:t xml:space="preserve">Inscriptions jusqu'au 15 décembre 2026</w:t>
      </w:r>
      <w:r>
        <w:rPr>
          <w:rFonts w:ascii="Calibri" w:cs="Calibri" w:eastAsia="Calibri" w:hAnsi="Calibri"/>
          <w:b w:val="false"/>
          <w:bCs w:val="false"/>
          <w:i w:val="false"/>
          <w:iCs w:val="false"/>
          <w:sz w:val="19"/>
          <w:szCs w:val="19"/>
        </w:rPr>
        <w:t xml:space="preserve">, par téléphone, par e-mail ou via le formulaire du site.</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Entretien de positionnement préalable avec le formateur, en visioconférence.</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Avant le démarrage : signature du contrat de professionnalisation et de la convention de formation, dépôt de la demande de prise en charge auprès de l'Opcommerce par l'entreprise.</w:t>
      </w:r>
    </w:p>
    <w:p>
      <w:pPr>
        <w:keepNext/>
        <w:pBdr>
          <w:bottom w:val="single" w:color="C8A84B" w:sz="8" w:space="2"/>
        </w:pBdr>
        <w:spacing w:after="120" w:before="240"/>
      </w:pPr>
      <w:r>
        <w:rPr>
          <w:rFonts w:ascii="Calibri" w:cs="Calibri" w:eastAsia="Calibri" w:hAnsi="Calibri"/>
          <w:b/>
          <w:bCs/>
          <w:color w:val="1E3A5F"/>
          <w:sz w:val="26"/>
          <w:szCs w:val="26"/>
        </w:rPr>
        <w:t xml:space="preserve">Prix et financement</w:t>
      </w:r>
    </w:p>
    <w:p>
      <w:pPr>
        <w:pStyle w:val="ListParagraph"/>
        <w:numPr>
          <w:ilvl w:val="0"/>
          <w:numId w:val="2"/>
        </w:numPr>
        <w:spacing w:after="60" w:line="264"/>
      </w:pPr>
      <w:r>
        <w:rPr>
          <w:rFonts w:ascii="Calibri" w:cs="Calibri" w:eastAsia="Calibri" w:hAnsi="Calibri"/>
          <w:b/>
          <w:bCs/>
          <w:i w:val="false"/>
          <w:iCs w:val="false"/>
          <w:sz w:val="19"/>
          <w:szCs w:val="19"/>
        </w:rPr>
        <w:t xml:space="preserve">2 280 € net de taxe</w:t>
      </w:r>
      <w:r>
        <w:rPr>
          <w:rFonts w:ascii="Calibri" w:cs="Calibri" w:eastAsia="Calibri" w:hAnsi="Calibri"/>
          <w:b w:val="false"/>
          <w:bCs w:val="false"/>
          <w:i w:val="false"/>
          <w:iCs w:val="false"/>
          <w:sz w:val="19"/>
          <w:szCs w:val="19"/>
        </w:rPr>
        <w:t xml:space="preserve"> par alternant (190 h × 12 €), exonération de TVA (article 261-4-4° a du CGI). Prix indexé sur le taux de prise en charge de l’Opcommerce en vigueur à la signature.</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Prise en charge par l'Opcommerce au titre du contrat de professionnalisation : sans reste à charge pour un employeur relevant de la CCN 2216 ; selon le profil de l'alternant pour un employeur relevant de la CCN 1505.</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Facturation mensuelle des heures réalisées, payable à 30 jours ; l’Opcommerce rembourse l’entreprise (pas de subrogation).</w:t>
      </w:r>
    </w:p>
    <w:p>
      <w:pPr>
        <w:keepNext/>
        <w:pBdr>
          <w:bottom w:val="single" w:color="C8A84B" w:sz="8" w:space="2"/>
        </w:pBdr>
        <w:spacing w:after="120" w:before="240"/>
      </w:pPr>
      <w:r>
        <w:rPr>
          <w:rFonts w:ascii="Calibri" w:cs="Calibri" w:eastAsia="Calibri" w:hAnsi="Calibri"/>
          <w:b/>
          <w:bCs/>
          <w:color w:val="1E3A5F"/>
          <w:sz w:val="26"/>
          <w:szCs w:val="26"/>
        </w:rPr>
        <w:t xml:space="preserve">Méthodes pédagogiques</w:t>
      </w:r>
    </w:p>
    <w:p>
      <w:pPr>
        <w:spacing w:after="100" w:before="0" w:line="264"/>
        <w:jc w:val="left"/>
      </w:pPr>
      <w:r>
        <w:rPr>
          <w:rFonts w:ascii="Calibri" w:cs="Calibri" w:eastAsia="Calibri" w:hAnsi="Calibri"/>
          <w:b w:val="false"/>
          <w:bCs w:val="false"/>
          <w:i w:val="false"/>
          <w:iCs w:val="false"/>
          <w:sz w:val="19"/>
          <w:szCs w:val="19"/>
        </w:rPr>
        <w:t xml:space="preserve">Classes virtuelles (apports, études de cas construites, mises en situation en cadre protégé, débriefing individualisé), modules en autonomie sur Teachizy (cours, cas, exercices de calcul commercial, quiz), et mise en pratique dans le magasin sous la responsabilité du tuteur. Le formateur répond aux questions sous 48 heures ouvrées.</w:t>
      </w:r>
    </w:p>
    <w:p>
      <w:pPr>
        <w:keepNext/>
        <w:pBdr>
          <w:bottom w:val="single" w:color="C8A84B" w:sz="8" w:space="2"/>
        </w:pBdr>
        <w:spacing w:after="120" w:before="240"/>
      </w:pPr>
      <w:r>
        <w:rPr>
          <w:rFonts w:ascii="Calibri" w:cs="Calibri" w:eastAsia="Calibri" w:hAnsi="Calibri"/>
          <w:b/>
          <w:bCs/>
          <w:color w:val="1E3A5F"/>
          <w:sz w:val="26"/>
          <w:szCs w:val="26"/>
        </w:rPr>
        <w:t xml:space="preserve">Évaluation, suivi et sanction</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Positionnement et autopositionnement à l’entrée ; quiz de fin de module (seuil de réussite : 80 %) ; étude de cas de fin de bloc.</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Évaluation finale : mise en situation professionnelle sur un cas construit couvrant les trois blocs, suivie d’un entretien ; autopositionnement de sortie.</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Suivi de l’assiduité : émargement de chaque classe virtuelle, relevés d’activité de la plateforme ; points de liaison avec le tuteur à mi-parcours et en fin de parcours ; questionnaire de satisfaction en fin de parcours.</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Documents remis : convention de formation, programme détaillé, attestation de fin de formation précisant la qualification visée, certificat de réalisation.</w:t>
      </w:r>
    </w:p>
    <w:p>
      <w:pPr>
        <w:keepNext/>
        <w:pBdr>
          <w:bottom w:val="single" w:color="C8A84B" w:sz="8" w:space="2"/>
        </w:pBdr>
        <w:spacing w:after="120" w:before="240"/>
      </w:pPr>
      <w:r>
        <w:rPr>
          <w:rFonts w:ascii="Calibri" w:cs="Calibri" w:eastAsia="Calibri" w:hAnsi="Calibri"/>
          <w:b/>
          <w:bCs/>
          <w:color w:val="1E3A5F"/>
          <w:sz w:val="26"/>
          <w:szCs w:val="26"/>
        </w:rPr>
        <w:t xml:space="preserve">Accessibilité et résultats</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Formation accessible aux personnes en situation de handicap : contactez la référente handicap avant l’inscription pour étudier les adaptations (rythme, supports, accès à la plateforme).</w:t>
      </w:r>
    </w:p>
    <w:p>
      <w:pPr>
        <w:pStyle w:val="ListParagraph"/>
        <w:numPr>
          <w:ilvl w:val="0"/>
          <w:numId w:val="2"/>
        </w:numPr>
        <w:spacing w:after="60" w:line="264"/>
      </w:pPr>
      <w:r>
        <w:rPr>
          <w:rFonts w:ascii="Calibri" w:cs="Calibri" w:eastAsia="Calibri" w:hAnsi="Calibri"/>
          <w:b w:val="false"/>
          <w:bCs w:val="false"/>
          <w:i w:val="false"/>
          <w:iCs w:val="false"/>
          <w:sz w:val="19"/>
          <w:szCs w:val="19"/>
        </w:rPr>
        <w:t xml:space="preserve">Action nouvelle : les taux de satisfaction, d’assiduité et de réussite seront publiés à l’issue de la première session.</w:t>
      </w:r>
    </w:p>
    <w:p>
      <w:pPr>
        <w:keepNext/>
        <w:pBdr>
          <w:bottom w:val="single" w:color="C8A84B" w:sz="8" w:space="2"/>
        </w:pBdr>
        <w:spacing w:after="120" w:before="240"/>
      </w:pPr>
      <w:r>
        <w:rPr>
          <w:rFonts w:ascii="Calibri" w:cs="Calibri" w:eastAsia="Calibri" w:hAnsi="Calibri"/>
          <w:b/>
          <w:bCs/>
          <w:color w:val="1E3A5F"/>
          <w:sz w:val="26"/>
          <w:szCs w:val="26"/>
        </w:rPr>
        <w:t xml:space="preserve">Contacts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Pr>
        <w:tc>
          <w:tcPr>
            <w:tcW w:type="dxa" w:w="26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SMDP Formation</w:t>
            </w:r>
          </w:p>
        </w:tc>
        <w:tc>
          <w:tcPr>
            <w:tcW w:type="dxa" w:w="70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39 rue de la Biche, 30000 Nîmes · 06 41 19 75 32 · contact@smdpformation.com</w:t>
            </w:r>
          </w:p>
        </w:tc>
      </w:tr>
      <w:tr>
        <w:trPr>
          <w:cantSplit/>
        </w:trPr>
        <w:tc>
          <w:tcPr>
            <w:tcW w:type="dxa" w:w="26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Formateur et référent technique</w:t>
            </w:r>
          </w:p>
        </w:tc>
        <w:tc>
          <w:tcPr>
            <w:tcW w:type="dxa" w:w="70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Teïva Faure · 06 13 95 07 09 · teivafaure@smdpformation.com</w:t>
            </w:r>
          </w:p>
        </w:tc>
      </w:tr>
      <w:tr>
        <w:trPr>
          <w:cantSplit/>
        </w:trPr>
        <w:tc>
          <w:tcPr>
            <w:tcW w:type="dxa" w:w="2600"/>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bCs/>
                <w:i w:val="false"/>
                <w:iCs w:val="false"/>
                <w:sz w:val="18"/>
                <w:szCs w:val="18"/>
              </w:rPr>
              <w:t xml:space="preserve">Référente handicap</w:t>
            </w:r>
          </w:p>
        </w:tc>
        <w:tc>
          <w:tcPr>
            <w:tcW w:type="dxa" w:w="7038"/>
            <w:tcBorders>
              <w:top w:val="single" w:color="BFC7D2" w:sz="4"/>
              <w:left w:val="single" w:color="BFC7D2" w:sz="4"/>
              <w:bottom w:val="single" w:color="BFC7D2" w:sz="4"/>
              <w:right w:val="single" w:color="BFC7D2" w:sz="4"/>
            </w:tcBorders>
            <w:tcMar>
              <w:top w:type="dxa" w:w="60"/>
              <w:left w:type="dxa" w:w="100"/>
              <w:bottom w:type="dxa" w:w="60"/>
              <w:right w:type="dxa" w:w="100"/>
            </w:tcMar>
            <w:vAlign w:val="top"/>
          </w:tcPr>
          <w:p>
            <w:pPr>
              <w:spacing w:after="40" w:line="252"/>
              <w:jc w:val="left"/>
            </w:pPr>
            <w:r>
              <w:rPr>
                <w:rFonts w:ascii="Calibri" w:cs="Calibri" w:eastAsia="Calibri" w:hAnsi="Calibri"/>
                <w:b w:val="false"/>
                <w:bCs w:val="false"/>
                <w:i w:val="false"/>
                <w:iCs w:val="false"/>
                <w:sz w:val="18"/>
                <w:szCs w:val="18"/>
              </w:rPr>
              <w:t xml:space="preserve">Alexandra Schmidt · 06 41 19 75 32 · alexandra.schmidt@smdpformation.com</w:t>
            </w:r>
          </w:p>
        </w:tc>
      </w:tr>
    </w:tbl>
    <w:p>
      <w:pPr>
        <w:spacing w:after="80" w:before="0" w:line="264"/>
        <w:jc w:val="left"/>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C7D2" w:sz="4"/>
              <w:left w:val="single" w:color="C8A84B" w:sz="24"/>
              <w:bottom w:val="single" w:color="BFC7D2" w:sz="4"/>
              <w:right w:val="single" w:color="BFC7D2" w:sz="4"/>
            </w:tcBorders>
            <w:shd w:fill="F4F6F9" w:color="auto" w:val="clear"/>
            <w:tcMar>
              <w:top w:type="dxa" w:w="100"/>
              <w:left w:type="dxa" w:w="160"/>
              <w:bottom w:type="dxa" w:w="100"/>
              <w:right w:type="dxa" w:w="160"/>
            </w:tcMar>
          </w:tcPr>
          <w:p>
            <w:pPr>
              <w:spacing w:after="0" w:before="0" w:line="264"/>
              <w:jc w:val="left"/>
            </w:pPr>
            <w:r>
              <w:rPr>
                <w:rFonts w:ascii="Calibri" w:cs="Calibri" w:eastAsia="Calibri" w:hAnsi="Calibri"/>
                <w:b w:val="false"/>
                <w:bCs w:val="false"/>
                <w:i w:val="false"/>
                <w:iCs w:val="false"/>
                <w:sz w:val="19"/>
                <w:szCs w:val="19"/>
              </w:rPr>
              <w:t xml:space="preserve">Programme détaillé remis sur demande et annexé à la convention de formation.</w:t>
            </w:r>
          </w:p>
        </w:tc>
      </w:tr>
    </w:tbl>
    <w:p>
      <w:pPr>
        <w:spacing w:after="0" w:before="0" w:line="264"/>
        <w:jc w:val="left"/>
      </w:pPr>
      <w:r>
        <w:rPr>
          <w:rFonts w:ascii="Calibri" w:cs="Calibri" w:eastAsia="Calibri" w:hAnsi="Calibri"/>
          <w:b w:val="false"/>
          <w:bCs w:val="false"/>
          <w:i/>
          <w:iCs/>
          <w:color w:val="666666"/>
          <w:sz w:val="17"/>
          <w:szCs w:val="17"/>
        </w:rPr>
        <w:t xml:space="preserve">Dernière mise à jour : 29 octobre 2026 — version 1.</w:t>
      </w:r>
    </w:p>
    <w:sectPr>
      <w:headerReference w:type="default" r:id="rId6"/>
      <w:footerReference w:type="default" r:id="rId7"/>
      <w:pgSz w:w="11906" w:h="16838" w:orient="portrait"/>
      <w:pgMar w:top="1100" w:right="1134" w:bottom="1300" w:left="1134" w:header="500"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7D2" w:sz="4" w:space="4"/>
      </w:pBdr>
      <w:spacing w:after="40"/>
      <w:jc w:val="center"/>
    </w:pPr>
    <w:r>
      <w:rPr>
        <w:rFonts w:ascii="Calibri" w:cs="Calibri" w:eastAsia="Calibri" w:hAnsi="Calibri"/>
        <w:color w:val="666666"/>
        <w:sz w:val="13"/>
        <w:szCs w:val="13"/>
      </w:rPr>
      <w:t xml:space="preserve">SMDP Formation · SASU au capital de 5 000 € · 39 rue de la Biche, 30000 Nîmes · SIRET 751 211 855 00018 · RCS Nîmes · NAF 70.21Z · Déclaration d'activité n° 76300567130 enregistrée auprès du préfet de région Occitanie (cet enregistrement ne vaut pas agrément de l'État) · contact@smdpformation.com · 06 41 19 75 32 · smdpformation.com</w:t>
    </w:r>
  </w:p>
  <w:p>
    <w:pPr>
      <w:jc w:val="right"/>
    </w:pPr>
    <w:r>
      <w:rPr>
        <w:rFonts w:ascii="Calibri" w:cs="Calibri" w:eastAsia="Calibri" w:hAnsi="Calibri"/>
        <w:color w:val="666666"/>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84B" w:sz="6" w:space="4"/>
      </w:pBdr>
    </w:pPr>
    <w:r>
      <w:rPr>
        <w:rFonts w:ascii="Calibri" w:cs="Calibri" w:eastAsia="Calibri" w:hAnsi="Calibri"/>
        <w:b/>
        <w:bCs/>
        <w:color w:val="1E3A5F"/>
        <w:sz w:val="18"/>
        <w:szCs w:val="18"/>
      </w:rPr>
      <w:t xml:space="preserve">SMDP Formation</w:t>
    </w:r>
    <w:r>
      <w:rPr>
        <w:rFonts w:ascii="Calibri" w:cs="Calibri" w:eastAsia="Calibri" w:hAnsi="Calibri"/>
        <w:color w:val="666666"/>
        <w:sz w:val="18"/>
        <w:szCs w:val="18"/>
      </w:rPr>
      <w:t xml:space="preserve">   ·   Fiche formation — Manager de rayon en alternance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C8A84B"/>
      </w:r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00" w:hanging="300"/>
      </w:pPr>
      <w:rPr>
        <w:b/>
        <w:bCs/>
        <w:color w:val="1E3A5F"/>
      </w:rPr>
    </w:lvl>
  </w:abstractNum>
  <w:abstractNum w:abstractNumId="4" w15:restartNumberingAfterBreak="0">
    <w:multiLevelType w:val="hybridMultilevel"/>
    <w:lvl w:ilvl="0" w:tentative="1">
      <w:start w:val="1"/>
      <w:numFmt w:val="decimal"/>
      <w:lvlText w:val="%1."/>
      <w:lvlJc w:val="left"/>
      <w:pPr>
        <w:ind w:left="400" w:hanging="300"/>
      </w:pPr>
      <w:rPr>
        <w:b/>
        <w:bCs/>
        <w:color w:val="1E3A5F"/>
      </w:rPr>
    </w:lvl>
  </w:abstractNum>
  <w:abstractNum w:abstractNumId="5" w15:restartNumberingAfterBreak="0">
    <w:multiLevelType w:val="hybridMultilevel"/>
    <w:lvl w:ilvl="0" w:tentative="1">
      <w:start w:val="1"/>
      <w:numFmt w:val="decimal"/>
      <w:lvlText w:val="%1."/>
      <w:lvlJc w:val="left"/>
      <w:pPr>
        <w:ind w:left="400" w:hanging="300"/>
      </w:pPr>
      <w:rPr>
        <w:b/>
        <w:bCs/>
        <w:color w:val="1E3A5F"/>
      </w:rPr>
    </w:lvl>
  </w:abstractNum>
  <w:abstractNum w:abstractNumId="6" w15:restartNumberingAfterBreak="0">
    <w:multiLevelType w:val="hybridMultilevel"/>
    <w:lvl w:ilvl="0" w:tentative="1">
      <w:start w:val="1"/>
      <w:numFmt w:val="decimal"/>
      <w:lvlText w:val="%1."/>
      <w:lvlJc w:val="left"/>
      <w:pPr>
        <w:ind w:left="400" w:hanging="300"/>
      </w:pPr>
      <w:rPr>
        <w:b/>
        <w:bCs/>
        <w:color w:val="1E3A5F"/>
      </w:rPr>
    </w:lvl>
  </w:abstractNum>
  <w:abstractNum w:abstractNumId="7" w15:restartNumberingAfterBreak="0">
    <w:multiLevelType w:val="hybridMultilevel"/>
    <w:lvl w:ilvl="0" w:tentative="1">
      <w:start w:val="1"/>
      <w:numFmt w:val="decimal"/>
      <w:lvlText w:val="%1."/>
      <w:lvlJc w:val="left"/>
      <w:pPr>
        <w:ind w:left="400" w:hanging="300"/>
      </w:pPr>
      <w:rPr>
        <w:b/>
        <w:bCs/>
        <w:color w:val="1E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formation — Manager de rayon en alternance</dc:title>
  <dc:creator>SMDP Formation</dc:creator>
  <cp:lastModifiedBy>Un-named</cp:lastModifiedBy>
  <cp:revision>1</cp:revision>
  <dcterms:created xsi:type="dcterms:W3CDTF">2026-10-29T10:34:01.328Z</dcterms:created>
  <dcterms:modified xsi:type="dcterms:W3CDTF">2026-10-29T10:34:01.339Z</dcterms:modified>
</cp:coreProperties>
</file>

<file path=docProps/custom.xml><?xml version="1.0" encoding="utf-8"?>
<Properties xmlns="http://schemas.openxmlformats.org/officeDocument/2006/custom-properties" xmlns:vt="http://schemas.openxmlformats.org/officeDocument/2006/docPropsVTypes"/>
</file>